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3.0" w:type="dxa"/>
        <w:jc w:val="left"/>
        <w:tblLayout w:type="fixed"/>
        <w:tblLook w:val="0000"/>
      </w:tblPr>
      <w:tblGrid>
        <w:gridCol w:w="18"/>
        <w:gridCol w:w="9225"/>
        <w:tblGridChange w:id="0">
          <w:tblGrid>
            <w:gridCol w:w="18"/>
            <w:gridCol w:w="922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80808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60" w:before="60" w:line="240" w:lineRule="auto"/>
              <w:jc w:val="both"/>
              <w:rPr>
                <w:rFonts w:ascii="Book Antiqua" w:cs="Book Antiqua" w:eastAsia="Book Antiqua" w:hAnsi="Book Antiqua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mallCaps w:val="1"/>
                <w:sz w:val="22"/>
                <w:szCs w:val="22"/>
                <w:rtl w:val="0"/>
              </w:rPr>
              <w:t xml:space="preserve">Academic Performance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Average Percentage (Till Semester IX)                                                                      : 70%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Percentage in Semester IX                                                                                           : 72.68%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 XII (Secondary Education Board of Assam, Science)                                    : 74%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 X (Secondary Education Board of Assam)                                                      :  86%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0" w:line="240" w:lineRule="auto"/>
              <w:ind w:right="0"/>
              <w:jc w:val="both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80808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mallCaps w:val="1"/>
                <w:sz w:val="22"/>
                <w:szCs w:val="22"/>
                <w:rtl w:val="0"/>
              </w:rPr>
              <w:t xml:space="preserve">Areas of Interest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Intellectual Property (Trademarks &amp; Copyright)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Corporate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2"/>
            <w:shd w:fill="80808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mallCaps w:val="1"/>
                <w:sz w:val="22"/>
                <w:szCs w:val="22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Currently working in the Trademark, Design &amp; Copyright Litigation team of Inttl Advocate as an Associate.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Naik Naik &amp; Co. -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IP &amp;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Media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litigation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 team (01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 March, 2023 – 30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 May 2023,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weeks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spacing w:line="240" w:lineRule="auto"/>
              <w:ind w:left="420"/>
              <w:jc w:val="both"/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Drafted service agreement pertaining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advertising, promotion, and marketing of the products of a Company by a certain Bollywood celebrity. Said agreement was between the Company and a Collective which represented the Celebrity.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spacing w:line="240" w:lineRule="auto"/>
              <w:ind w:left="42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Drafted an endorsement agreement laying down the terms and conditions for acquiring services of a well-known Indian film industry artist for endorsement of products and brand of a certain Company.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line="240" w:lineRule="auto"/>
              <w:ind w:left="42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Prepared research notes on legality of online fantasy games in India, and whether or not they fall within the ambit of "betting" or "wagering" as per various State legislations.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spacing w:line="240" w:lineRule="auto"/>
              <w:ind w:left="42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Prepared a research note on legality of live streaming of video games on social media platforms, and the copyright implications of the same.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ALG Law Offices - General IP team (01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 December, 2022 – 29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 December 2022,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z w:val="22"/>
                <w:szCs w:val="22"/>
                <w:rtl w:val="0"/>
              </w:rPr>
              <w:t xml:space="preserve">4 weeks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line="240" w:lineRule="auto"/>
              <w:ind w:left="420" w:hanging="420"/>
              <w:jc w:val="both"/>
              <w:rPr>
                <w:b w:val="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sz w:val="22"/>
                <w:szCs w:val="22"/>
                <w:rtl w:val="0"/>
              </w:rPr>
              <w:t xml:space="preserve">Drafted Notice of Opposition, and Affidavit for Evidence in support of Opposition.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line="240" w:lineRule="auto"/>
              <w:ind w:left="420" w:hanging="420"/>
              <w:jc w:val="both"/>
              <w:rPr>
                <w:b w:val="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sz w:val="22"/>
                <w:szCs w:val="22"/>
                <w:rtl w:val="0"/>
              </w:rPr>
              <w:t xml:space="preserve">Drafted Application for Rectification of Trademark Register by way of cancellation under S. 57 of Trademark Act, 1999.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pacing w:line="240" w:lineRule="auto"/>
              <w:ind w:left="420" w:hanging="420"/>
              <w:jc w:val="both"/>
              <w:rPr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sz w:val="22"/>
                <w:szCs w:val="22"/>
                <w:rtl w:val="0"/>
              </w:rPr>
              <w:t xml:space="preserve">Assisted in drafting legal opinion based on an online investigation of the adversary’s extent of use of the infringing mark.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line="240" w:lineRule="auto"/>
              <w:ind w:left="420" w:hanging="420"/>
              <w:jc w:val="both"/>
              <w:rPr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sz w:val="22"/>
                <w:szCs w:val="22"/>
                <w:rtl w:val="0"/>
              </w:rPr>
              <w:t xml:space="preserve">Researched upon various topics such as “threshold for enforcement of personality rights”, “importance of O3 notices in the process of removal from Trademark Register”, and “takedown policies of major e-commerce platforms in cases of copyright infringement by sellers”.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Satyaki Legal - Trademark team (01st October – 30th October,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z w:val="22"/>
                <w:szCs w:val="22"/>
                <w:rtl w:val="0"/>
              </w:rPr>
              <w:t xml:space="preserve">4 weeks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line="240" w:lineRule="auto"/>
              <w:ind w:left="420" w:hanging="420"/>
              <w:jc w:val="both"/>
              <w:rPr>
                <w:b w:val="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sz w:val="22"/>
                <w:szCs w:val="22"/>
                <w:rtl w:val="0"/>
              </w:rPr>
              <w:t xml:space="preserve">Prepared Trademark Search Reports for clients, and drafted Replies to Examination Reports.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line="240" w:lineRule="auto"/>
              <w:ind w:left="420" w:hanging="420"/>
              <w:jc w:val="both"/>
              <w:rPr>
                <w:b w:val="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sz w:val="22"/>
                <w:szCs w:val="22"/>
                <w:rtl w:val="0"/>
              </w:rPr>
              <w:t xml:space="preserve">Drafted Cease-and-Desist notice, and Reply to Cease-and-Desist Notice for trademark infringement.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line="240" w:lineRule="auto"/>
              <w:ind w:left="420" w:hanging="420"/>
              <w:jc w:val="both"/>
              <w:rPr>
                <w:b w:val="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sz w:val="22"/>
                <w:szCs w:val="22"/>
                <w:rtl w:val="0"/>
              </w:rPr>
              <w:t xml:space="preserve">Prepared research note on overlap between copyright and trademark protection for label marks in light of the Sanjay Soya Pvt. Ltd. v. Narayani Trading Company case.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Lakshmikumaran &amp; Sridharan Attorneys - Indirect Taxation team (01st July– 29th July, 2022,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z w:val="22"/>
                <w:szCs w:val="22"/>
                <w:rtl w:val="0"/>
              </w:rPr>
              <w:t xml:space="preserve">4 weeks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Researched on TDS compliance requirements as per Section 194R of Income Tax Act.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spacing w:line="240" w:lineRule="auto"/>
              <w:ind w:left="420" w:hanging="420"/>
              <w:jc w:val="both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Assisted in drafting of reply to show cause notice submitting that client’s refund application under S. 54 of CGST Act, 2018 had been wrongly rejected.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8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Researched on applicability of Doctrine of Merger in light of grant of dismissal of an appeal by the Supreme Court.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Lalji Advocates, Noida - Trademark team (01st June– 30th June, 2022,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z w:val="22"/>
                <w:szCs w:val="22"/>
                <w:rtl w:val="0"/>
              </w:rPr>
              <w:t xml:space="preserve">4 weeks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Drafted Replies to Examination Reports, Notices of Opposition and Counter Statements related to objected trademarks on behalf of clients.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0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Assisted in filing of renewals for existing Trademark Applications (TM-A).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Part of client meetings and conducted research for active on-going matters of the firm.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0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Assisted with preparation of arguments to be submitted at Show Cause hearings before the Trademark Registry.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Thomas George &amp; Associates - Litigation team (01st January– 01st February, 2022,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z w:val="22"/>
                <w:szCs w:val="22"/>
                <w:rtl w:val="0"/>
              </w:rPr>
              <w:t xml:space="preserve">4 weeks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2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Assisted in preparing notice of arbitration under Section 21 of Arbitration &amp; Conciliation Act, 1996.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2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Researched on the extent of legal validity of agreements in restraint of trade as per Section 27 of Indian Contract Act, 27 and the exceptions to the same.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Simon &amp; Josephine - General Corporate team (15th November– 15th December, 2021,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z w:val="22"/>
                <w:szCs w:val="22"/>
                <w:rtl w:val="0"/>
              </w:rPr>
              <w:t xml:space="preserve">4 weeks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Prepared case briefs of judgments regarding defences available for Contempt of Court in Trademark disputes.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Researched on the rise in copyright infringement and digital piracy in light of the COVID-19 pandemic.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sz w:val="22"/>
                <w:szCs w:val="22"/>
                <w:rtl w:val="0"/>
              </w:rPr>
              <w:t xml:space="preserve">Prepared a research note on the procedural requirements and compliance for acquisition of DPIIT recognition for a tech-based start-up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ASG &amp; Partners - General Corporate team (01st October – 21st October, 2021,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z w:val="22"/>
                <w:szCs w:val="22"/>
                <w:rtl w:val="0"/>
              </w:rPr>
              <w:t xml:space="preserve">3 weeks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sz w:val="22"/>
                <w:szCs w:val="22"/>
                <w:rtl w:val="0"/>
              </w:rPr>
              <w:t xml:space="preserve">Prepared a checklist on environmental clearances essential for setting up of plastic manufacturing business in the state of Delhi.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0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Researched on trending legal points pertaining to trademark and technology law, and assisted in collating electronic evidence u/s 65B of TM Act, 1999.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VS Legal, Mumbai - General Corporate team (1st April – 30th May, 2021,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z w:val="22"/>
                <w:szCs w:val="22"/>
                <w:rtl w:val="0"/>
              </w:rPr>
              <w:t xml:space="preserve">8 weeks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1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Conducted trademark searches via IP India office portal, TMView, and WIPO Global Brand Database, and prepared research note on international registrations via Madrid Protocol.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1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Researched on concept of Related Party Transaction under Section 2(76) and 188 of the Companies Act, 2013.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1"/>
              </w:numPr>
              <w:spacing w:line="240" w:lineRule="auto"/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sz w:val="22"/>
                <w:szCs w:val="22"/>
                <w:rtl w:val="0"/>
              </w:rPr>
              <w:t xml:space="preserve">Assisted in the process of filing of Trademark Applications (TM-A), and helped in drafting of Prior User Affidavits.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mallCaps w:val="1"/>
                <w:sz w:val="22"/>
                <w:szCs w:val="22"/>
                <w:rtl w:val="0"/>
              </w:rPr>
              <w:t xml:space="preserve">Co-Curricular Activities (Moots, Publications, Courses, Conferences)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Papers and Publications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Presented a paper titled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“A Comparative Study of Evolution of Various Marriage Laws in India &amp; Position of Women Under Them”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at a conference “Gender Justice and Constitutional Values: A Reflection on Concept of Family and Right of Women” organized by NUALS, Kochi (2021).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Co-author,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“A History of the LGBTQ Community in India &amp; the Road Ahead After Navtej Singh Johar”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, published in the Indian Journal of Legal Studies &amp; Research (WBNUJS), Vol. 11, Issue 1, ISSN (O): 2278-4764 (2022).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Author,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“Case Analysis: Academy of General Education v. B. Malini Mallya”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&amp;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“Case Analysis: J. Mitra &amp; Co. v. Assistant Controller of Patents &amp; Designs”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, published in Compilation of Selected Cases on Intellectual Property Rights, Legal Startups &amp; GNLU Centre for IPR (2022).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Author,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“Redefining the Complexities between Copyright &amp; Competition Laws: An Analysis”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, published in NLUA Intellectual Property Law Journal, Vol. 1 Issue 1 (2022).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Moot Court and Allied Competitions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Semi-Finalist and Third Best Memorial, 3rd Surana and Surana and KLE College National Constitutional Law Moot Court Competition (2019).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Participant, 14th Pro-Bono Enviro National Moot Court Competition (2021).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420" w:hanging="42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Participant, 13th UPES Paras Diwan International Energy Law Moot Court Competition (2023).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Certificate Courses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Certificate course,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“DL-101 General Course on Intellectual Property”,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World Intellectual Property Organization.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Certificate course, “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DL-303 Specialized Course on Madrid System of International Classification of Marks” 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World Intellectual Property Organization.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420" w:hanging="420"/>
              <w:jc w:val="both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Certificate course,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“PCT-101 Introduction to Patent Cooperation Treaty”, 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World Intellectual Property Organization.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420" w:hanging="420"/>
              <w:jc w:val="both"/>
              <w:rPr>
                <w:b w:val="1"/>
                <w:smallCaps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Certificate course,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“CopyrightX”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, Harvard University (February - May, 2023 batch).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540.0" w:type="dxa"/>
              <w:jc w:val="left"/>
              <w:tblLayout w:type="fixed"/>
              <w:tblLook w:val="0000"/>
            </w:tblPr>
            <w:tblGrid>
              <w:gridCol w:w="9540"/>
              <w:tblGridChange w:id="0">
                <w:tblGrid>
                  <w:gridCol w:w="9540"/>
                </w:tblGrid>
              </w:tblGridChange>
            </w:tblGrid>
            <w:tr>
              <w:trPr>
                <w:cantSplit w:val="0"/>
                <w:trHeight w:val="414" w:hRule="atLeast"/>
                <w:tblHeader w:val="0"/>
              </w:trPr>
              <w:tc>
                <w:tcPr>
                  <w:shd w:fill="808080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E">
                  <w:pPr>
                    <w:spacing w:after="60" w:before="60" w:line="240" w:lineRule="auto"/>
                    <w:jc w:val="both"/>
                    <w:rPr>
                      <w:rFonts w:ascii="Book Antiqua" w:cs="Book Antiqua" w:eastAsia="Book Antiqua" w:hAnsi="Book Antiqua"/>
                      <w:b w:val="1"/>
                      <w:smallCaps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Book Antiqua" w:cs="Book Antiqua" w:eastAsia="Book Antiqua" w:hAnsi="Book Antiqua"/>
                      <w:b w:val="1"/>
                      <w:smallCaps w:val="1"/>
                      <w:sz w:val="22"/>
                      <w:szCs w:val="22"/>
                      <w:rtl w:val="0"/>
                    </w:rPr>
                    <w:t xml:space="preserve">Positions of Responsibility</w:t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assistant, DPIIT-GNLU Chair (January - March, 2022).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Member, GNLU Centre for Intellectual Property (2021 - present).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Member, GNLU Model United Nations (2018 - 2020).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right="0"/>
              <w:jc w:val="both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                                                             </w:t>
      </w:r>
    </w:p>
    <w:sectPr>
      <w:headerReference r:id="rId7" w:type="default"/>
      <w:headerReference r:id="rId8" w:type="first"/>
      <w:footerReference r:id="rId9" w:type="default"/>
      <w:pgSz w:h="16839" w:w="11907" w:orient="portrait"/>
      <w:pgMar w:bottom="1134" w:top="1440" w:left="1440" w:right="1440" w:header="850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aramond"/>
  <w:font w:name="Cambria"/>
  <w:font w:name="Arial"/>
  <w:font w:name="Book Antiqu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63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507.0" w:type="dxa"/>
      <w:jc w:val="left"/>
      <w:tblInd w:w="-72.0" w:type="dxa"/>
      <w:tblLayout w:type="fixed"/>
      <w:tblLook w:val="0000"/>
    </w:tblPr>
    <w:tblGrid>
      <w:gridCol w:w="9299"/>
      <w:gridCol w:w="1208"/>
      <w:tblGridChange w:id="0">
        <w:tblGrid>
          <w:gridCol w:w="9299"/>
          <w:gridCol w:w="1208"/>
        </w:tblGrid>
      </w:tblGridChange>
    </w:tblGrid>
    <w:tr>
      <w:trPr>
        <w:cantSplit w:val="0"/>
        <w:tblHeader w:val="0"/>
      </w:trPr>
      <w:tc>
        <w:tcPr>
          <w:tcBorders>
            <w:right w:color="000000" w:space="0" w:sz="6" w:val="single"/>
          </w:tcBorders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Book Antiqua" w:cs="Book Antiqua" w:eastAsia="Book Antiqua" w:hAnsi="Book Antiqua"/>
              <w:b w:val="1"/>
              <w:i w:val="0"/>
              <w:smallCaps w:val="1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1"/>
              <w:i w:val="0"/>
              <w:smallCaps w:val="1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Noyonika Kar</w:t>
          </w:r>
          <w:r w:rsidDel="00000000" w:rsidR="00000000" w:rsidRPr="00000000">
            <mc:AlternateContent>
              <mc:Choice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-107312</wp:posOffset>
                    </wp:positionH>
                    <wp:positionV relativeFrom="paragraph">
                      <wp:posOffset>-497202</wp:posOffset>
                    </wp:positionV>
                    <wp:extent cx="1226820" cy="1350645"/>
                    <wp:effectExtent b="16510" l="4445" r="13335" t="4445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26820" cy="1350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jc w:val="center"/>
                                  <w:rPr>
                                    <w:rFonts w:ascii="Garamond" w:hAnsi="Garamond" w:hint="default"/>
                                    <w:sz w:val="28"/>
                                    <w:szCs w:val="28"/>
                                    <w:lang w:val="en-IN"/>
                                  </w:rPr>
                                </w:pPr>
                                <w:r w:rsidDel="00000000" w:rsidR="00000000" w:rsidRPr="00000000">
                                  <w:rPr>
                                    <w:rFonts w:ascii="Garamond" w:hAnsi="Garamond" w:hint="default"/>
                                    <w:sz w:val="28"/>
                                    <w:szCs w:val="28"/>
                                    <w:lang w:val="en-IN"/>
                                  </w:rPr>
                                  <w:drawing>
                                    <wp:inline distB="0" distT="0" distL="114300" distR="114300">
                                      <wp:extent cx="1057275" cy="1372870"/>
                                      <wp:effectExtent b="11430" l="0" r="9525" t="0"/>
                                      <wp:docPr descr="photo" id="1" name="Picture 1"/>
                                      <wp:cNvGraphicFramePr>
                                        <a:graphicFrameLocks noChangeAspect="1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descr="photo" id="1" name="Picture 1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57275" cy="137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upright="1"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-107312</wp:posOffset>
                    </wp:positionH>
                    <wp:positionV relativeFrom="paragraph">
                      <wp:posOffset>-497202</wp:posOffset>
                    </wp:positionV>
                    <wp:extent cx="1244600" cy="1371600"/>
                    <wp:effectExtent b="0" l="0" r="0" t="0"/>
                    <wp:wrapNone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44600" cy="13716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 Year, B.Sc. L.L.B. (General Hons.), Gujarat National Law University</w:t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noyonika009@gmail.com, +91-6355002029</w:t>
          </w:r>
        </w:p>
      </w:tc>
      <w:tc>
        <w:tcPr>
          <w:tcBorders>
            <w:left w:color="000000" w:space="0" w:sz="6" w:val="single"/>
          </w:tcBorders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Book Antiqua" w:cs="Book Antiqua" w:eastAsia="Book Antiqua" w:hAnsi="Book Antiqua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4"/>
      <w:tblW w:w="10507.0" w:type="dxa"/>
      <w:jc w:val="left"/>
      <w:tblInd w:w="-72.0" w:type="dxa"/>
      <w:tblLayout w:type="fixed"/>
      <w:tblLook w:val="0000"/>
    </w:tblPr>
    <w:tblGrid>
      <w:gridCol w:w="9299"/>
      <w:gridCol w:w="1208"/>
      <w:tblGridChange w:id="0">
        <w:tblGrid>
          <w:gridCol w:w="9299"/>
          <w:gridCol w:w="1208"/>
        </w:tblGrid>
      </w:tblGridChange>
    </w:tblGrid>
    <w:tr>
      <w:trPr>
        <w:cantSplit w:val="0"/>
        <w:tblHeader w:val="0"/>
      </w:trPr>
      <w:tc>
        <w:tcPr>
          <w:tcBorders>
            <w:right w:color="000000" w:space="0" w:sz="6" w:val="single"/>
          </w:tcBorders>
        </w:tcPr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Book Antiqua" w:cs="Book Antiqua" w:eastAsia="Book Antiqua" w:hAnsi="Book Antiqua"/>
              <w:b w:val="1"/>
              <w:i w:val="0"/>
              <w:smallCaps w:val="1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1"/>
              <w:i w:val="0"/>
              <w:smallCaps w:val="1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Noyonika Kar</w:t>
          </w:r>
        </w:p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 Year, B.Sc.L.L.B. (General Hons.), Gujarat National Law University</w:t>
          </w:r>
        </w:p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noyonika009@gmail.com, +91-6355002029</w:t>
          </w:r>
        </w:p>
      </w:tc>
      <w:tc>
        <w:tcPr>
          <w:tcBorders>
            <w:left w:color="000000" w:space="0" w:sz="6" w:val="single"/>
          </w:tcBorders>
        </w:tcPr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■"/>
      <w:lvlJc w:val="left"/>
      <w:pPr>
        <w:ind w:left="420" w:hanging="42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■"/>
      <w:lvlJc w:val="left"/>
      <w:pPr>
        <w:ind w:left="420" w:hanging="42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■"/>
      <w:lvlJc w:val="left"/>
      <w:pPr>
        <w:ind w:left="420" w:hanging="42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■"/>
      <w:lvlJc w:val="left"/>
      <w:pPr>
        <w:ind w:left="420" w:hanging="42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■"/>
      <w:lvlJc w:val="left"/>
      <w:pPr>
        <w:ind w:left="420" w:hanging="42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■"/>
      <w:lvlJc w:val="left"/>
      <w:pPr>
        <w:ind w:left="420" w:hanging="42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■"/>
      <w:lvlJc w:val="left"/>
      <w:pPr>
        <w:ind w:left="420" w:hanging="42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■"/>
      <w:lvlJc w:val="left"/>
      <w:pPr>
        <w:ind w:left="420" w:hanging="42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■"/>
      <w:lvlJc w:val="left"/>
      <w:pPr>
        <w:ind w:left="420" w:hanging="420"/>
      </w:pPr>
      <w:rPr>
        <w:rFonts w:ascii="Noto Sans Symbols" w:cs="Noto Sans Symbols" w:eastAsia="Noto Sans Symbols" w:hAnsi="Noto Sans Symbols"/>
        <w:sz w:val="13"/>
        <w:szCs w:val="13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60" w:line="240" w:lineRule="auto"/>
    </w:pPr>
    <w:rPr>
      <w:rFonts w:ascii="Garamond" w:cs="Garamond" w:eastAsia="Garamond" w:hAnsi="Garamond"/>
      <w:b w:val="1"/>
      <w:smallCaps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