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2"/>
        <w:rPr/>
      </w:pPr>
      <w:r w:rsidDel="00000000" w:rsidR="00000000" w:rsidRPr="00000000">
        <w:rPr>
          <w:rtl w:val="0"/>
        </w:rPr>
        <w:t xml:space="preserve">Tiyas Raha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2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462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tiyasraha007@gmail.com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462c1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+91 8240603614 |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462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https://www.linkedin.com/in/tiy as-raha-a62554186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firstLine="12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8406"/>
        </w:tabs>
        <w:ind w:firstLine="12"/>
        <w:rPr/>
      </w:pPr>
      <w:r w:rsidDel="00000000" w:rsidR="00000000" w:rsidRPr="00000000">
        <w:rPr>
          <w:rtl w:val="0"/>
        </w:rPr>
        <w:t xml:space="preserve">Junior Advocate: Adv.  Chenoy Seil</w:t>
        <w:tab/>
        <w:t xml:space="preserve">Jan 2023 – Dec 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37" w:line="276" w:lineRule="auto"/>
        <w:ind w:left="516" w:right="15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case handling responsibilities, ensuring timely preparation and submission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0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Represented </w:t>
      </w:r>
      <w:r w:rsidDel="00000000" w:rsidR="00000000" w:rsidRPr="00000000">
        <w:rPr>
          <w:rtl w:val="0"/>
        </w:rPr>
        <w:t xml:space="preserve">in courts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37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invaluable assistance to the legal team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  <w:tab w:val="left" w:leader="none" w:pos="8538"/>
        </w:tabs>
        <w:spacing w:after="0" w:before="4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  <w:tab w:val="left" w:leader="none" w:pos="8538"/>
        </w:tabs>
        <w:spacing w:after="0" w:before="4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Junior Advocate: Adv. Aniruddha Roychowdhury &amp; Adv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Somnath Chowdhury</w:t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 2022 – Jan 2023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39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Drafted legal documents with precision &amp; clarity, leading to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reduction in drafting errors &amp; omissions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37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client negotiations, resolving legal </w:t>
      </w:r>
      <w:r w:rsidDel="00000000" w:rsidR="00000000" w:rsidRPr="00000000">
        <w:rPr>
          <w:rtl w:val="0"/>
        </w:rPr>
        <w:t xml:space="preserve">matters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516" w:right="8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analytical work to assess legal strategies, enhancing decision-making processes and optimizing case outcomes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0" w:right="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0" w:right="8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INTERNSHIP</w:t>
      </w:r>
    </w:p>
    <w:p w:rsidR="00000000" w:rsidDel="00000000" w:rsidP="00000000" w:rsidRDefault="00000000" w:rsidRPr="00000000" w14:paraId="00000010">
      <w:pPr>
        <w:pStyle w:val="Heading2"/>
        <w:tabs>
          <w:tab w:val="left" w:leader="none" w:pos="8349"/>
        </w:tabs>
        <w:spacing w:before="4" w:lineRule="auto"/>
        <w:ind w:firstLine="12"/>
        <w:rPr/>
      </w:pPr>
      <w:r w:rsidDel="00000000" w:rsidR="00000000" w:rsidRPr="00000000">
        <w:rPr>
          <w:rtl w:val="0"/>
        </w:rPr>
        <w:t xml:space="preserve">Intern: </w:t>
      </w:r>
      <w:r w:rsidDel="00000000" w:rsidR="00000000" w:rsidRPr="00000000">
        <w:rPr>
          <w:rtl w:val="0"/>
        </w:rPr>
        <w:t xml:space="preserve"> Adv. Debajytoi Ghosh and Associates</w:t>
        <w:tab/>
        <w:t xml:space="preserve">Aug 2021 – Feb 2022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39" w:line="273" w:lineRule="auto"/>
        <w:ind w:left="516" w:right="132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ttend</w:t>
      </w:r>
      <w:r w:rsidDel="00000000" w:rsidR="00000000" w:rsidRPr="00000000">
        <w:rPr>
          <w:rtl w:val="0"/>
        </w:rPr>
        <w:t xml:space="preserve">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court proceedings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the guidance of senior advocates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3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&amp; maintained case records, ensuring accuracy &amp; completeness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37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Appeared in courts regularly, gaining valuable courtroom experience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516" w:right="283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assistance to the legal team and senior advocates, conducting legal research and drafting legal documents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0" w:right="283" w:firstLine="0"/>
        <w:jc w:val="left"/>
        <w:rPr/>
      </w:pPr>
      <w:r w:rsidDel="00000000" w:rsidR="00000000" w:rsidRPr="00000000">
        <w:rPr>
          <w:b w:val="1"/>
          <w:rtl w:val="0"/>
        </w:rPr>
        <w:t xml:space="preserve">Intern: Adv. Wajahat Ansari, Supreme Court</w:t>
      </w:r>
      <w:r w:rsidDel="00000000" w:rsidR="00000000" w:rsidRPr="00000000">
        <w:rPr>
          <w:rtl w:val="0"/>
        </w:rPr>
        <w:t xml:space="preserve">, (</w:t>
      </w:r>
      <w:r w:rsidDel="00000000" w:rsidR="00000000" w:rsidRPr="00000000">
        <w:rPr>
          <w:b w:val="1"/>
          <w:rtl w:val="0"/>
        </w:rPr>
        <w:t xml:space="preserve">Virtual)</w:t>
      </w:r>
      <w:r w:rsidDel="00000000" w:rsidR="00000000" w:rsidRPr="00000000">
        <w:rPr>
          <w:rtl w:val="0"/>
        </w:rPr>
        <w:t xml:space="preserve">                                                           </w:t>
      </w:r>
      <w:r w:rsidDel="00000000" w:rsidR="00000000" w:rsidRPr="00000000">
        <w:rPr>
          <w:b w:val="1"/>
          <w:rtl w:val="0"/>
        </w:rPr>
        <w:t xml:space="preserve">Jul 2021 – Aug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516" w:right="283" w:hanging="36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Collaborated on case law analysis, improving legal strategies and enhancing case presentations.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516" w:right="283" w:hanging="36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Attended Online seminars regarding legal knowledge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0" w:right="283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Intern: Adv. Subhasis Pachhal, High Court,  Kolkata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tl w:val="0"/>
        </w:rPr>
        <w:t xml:space="preserve">                                                       </w:t>
      </w:r>
      <w:r w:rsidDel="00000000" w:rsidR="00000000" w:rsidRPr="00000000">
        <w:rPr>
          <w:b w:val="1"/>
          <w:rtl w:val="0"/>
        </w:rPr>
        <w:t xml:space="preserve">Dec 2020 – Feb 2021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516" w:right="283" w:hanging="36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Drafted legal documents, maintaining accuracy rate in document preparation and submission.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516" w:right="283" w:hanging="36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Facilitated client communication and satisfaction.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516" w:right="283" w:hanging="36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Collaborated with cross-functional teams, within the legal department.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</wp:posOffset>
                </wp:positionH>
                <wp:positionV relativeFrom="paragraph">
                  <wp:posOffset>48061</wp:posOffset>
                </wp:positionV>
                <wp:extent cx="6629400" cy="127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" name="Graphic 1"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</wp:posOffset>
                </wp:positionH>
                <wp:positionV relativeFrom="paragraph">
                  <wp:posOffset>48061</wp:posOffset>
                </wp:positionV>
                <wp:extent cx="6629400" cy="127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pStyle w:val="Heading1"/>
        <w:spacing w:before="79" w:lineRule="auto"/>
        <w:ind w:firstLine="12"/>
        <w:rPr/>
        <w:sectPr>
          <w:pgSz w:h="16840" w:w="11910" w:orient="portrait"/>
          <w:pgMar w:bottom="280" w:top="900" w:left="708" w:right="708" w:header="360" w:footer="360"/>
          <w:pgNumType w:start="1"/>
        </w:sectPr>
      </w:pPr>
      <w:r w:rsidDel="00000000" w:rsidR="00000000" w:rsidRPr="00000000">
        <w:rPr>
          <w:rtl w:val="0"/>
        </w:rPr>
        <w:t xml:space="preserve"> POINT OF INTEREST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7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Trademark Law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Intellectual Property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40" w:lineRule="auto"/>
        <w:ind w:left="516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Criminal Law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40" w:lineRule="auto"/>
        <w:ind w:left="516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Civil Law</w:t>
      </w:r>
    </w:p>
    <w:p w:rsidR="00000000" w:rsidDel="00000000" w:rsidP="00000000" w:rsidRDefault="00000000" w:rsidRPr="00000000" w14:paraId="00000022">
      <w:pPr>
        <w:pStyle w:val="Heading1"/>
        <w:spacing w:before="196" w:lineRule="auto"/>
        <w:ind w:firstLine="12"/>
        <w:rPr/>
      </w:pP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</wp:posOffset>
                </wp:positionH>
                <wp:positionV relativeFrom="paragraph">
                  <wp:posOffset>75560</wp:posOffset>
                </wp:positionV>
                <wp:extent cx="6629400" cy="127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Graphic 2"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</wp:posOffset>
                </wp:positionH>
                <wp:positionV relativeFrom="paragraph">
                  <wp:posOffset>75560</wp:posOffset>
                </wp:positionV>
                <wp:extent cx="6629400" cy="127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Style w:val="Heading2"/>
        <w:ind w:firstLine="12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900" w:left="708" w:right="708" w:header="360" w:footer="360"/>
          <w:cols w:equalWidth="0" w:num="3">
            <w:col w:space="1062" w:w="2790.0000000000005"/>
            <w:col w:space="1062" w:w="2790.0000000000005"/>
            <w:col w:space="0" w:w="2790.0000000000005"/>
          </w:cols>
        </w:sectPr>
      </w:pPr>
      <w:r w:rsidDel="00000000" w:rsidR="00000000" w:rsidRPr="00000000">
        <w:rPr>
          <w:rtl w:val="0"/>
        </w:rPr>
        <w:t xml:space="preserve">Adamas University, Kolkata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8560"/>
        </w:tabs>
        <w:spacing w:before="40" w:line="273" w:lineRule="auto"/>
        <w:ind w:left="720" w:right="33" w:hanging="360"/>
        <w:jc w:val="left"/>
        <w:rPr>
          <w:u w:val="none"/>
        </w:rPr>
      </w:pPr>
      <w:r w:rsidDel="00000000" w:rsidR="00000000" w:rsidRPr="00000000">
        <w:rPr>
          <w:b w:val="1"/>
          <w:sz w:val="22"/>
          <w:szCs w:val="22"/>
        </w:rPr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1207769</wp:posOffset>
                </wp:positionV>
                <wp:extent cx="756094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Graphic 3"/>
                      <wps:spPr>
                        <a:xfrm>
                          <a:off x="0" y="0"/>
                          <a:ext cx="7560945" cy="127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2700" w="7560945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560564" y="12700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1207769</wp:posOffset>
                </wp:positionV>
                <wp:extent cx="756094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Bachelors in Business Administration an</w:t>
      </w:r>
      <w:r w:rsidDel="00000000" w:rsidR="00000000" w:rsidRPr="00000000">
        <w:rPr>
          <w:rtl w:val="0"/>
        </w:rPr>
        <w:t xml:space="preserve">d Law </w:t>
      </w:r>
      <w:r w:rsidDel="00000000" w:rsidR="00000000" w:rsidRPr="00000000">
        <w:rPr>
          <w:sz w:val="22"/>
          <w:szCs w:val="22"/>
          <w:rtl w:val="0"/>
        </w:rPr>
        <w:t xml:space="preserve">|BBA LLB. (H), GPA: 7.16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Jul 2017 – Jul 2022 </w:t>
      </w:r>
    </w:p>
    <w:p w:rsidR="00000000" w:rsidDel="00000000" w:rsidP="00000000" w:rsidRDefault="00000000" w:rsidRPr="00000000" w14:paraId="00000025">
      <w:pPr>
        <w:tabs>
          <w:tab w:val="left" w:leader="none" w:pos="8560"/>
        </w:tabs>
        <w:spacing w:before="40" w:line="273" w:lineRule="auto"/>
        <w:ind w:left="0" w:right="33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Aditya Academy Senior Secondary School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8265"/>
        </w:tabs>
        <w:spacing w:after="0" w:afterAutospacing="0" w:before="4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Higher Secondary, 66%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May 2015 – May 2016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8353"/>
        </w:tabs>
        <w:spacing w:before="0" w:beforeAutospacing="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Secondary, 62%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Apr 2013 – Apr 2014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</wp:posOffset>
                </wp:positionH>
                <wp:positionV relativeFrom="paragraph">
                  <wp:posOffset>77699</wp:posOffset>
                </wp:positionV>
                <wp:extent cx="6629400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4" name="Graphic 4"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</wp:posOffset>
                </wp:positionH>
                <wp:positionV relativeFrom="paragraph">
                  <wp:posOffset>77699</wp:posOffset>
                </wp:positionV>
                <wp:extent cx="6629400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Style w:val="Heading1"/>
        <w:spacing w:before="71" w:lineRule="auto"/>
        <w:ind w:firstLine="12"/>
        <w:rPr/>
      </w:pPr>
      <w:r w:rsidDel="00000000" w:rsidR="00000000" w:rsidRPr="00000000">
        <w:rPr>
          <w:rtl w:val="0"/>
        </w:rPr>
        <w:t xml:space="preserve">CERTIFICATIONS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  <w:tab w:val="left" w:leader="none" w:pos="9508"/>
        </w:tabs>
        <w:spacing w:after="0" w:before="45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Oriented Analyst Program on Patent &amp; Trademark from IIPTA</w:t>
      </w:r>
      <w:r w:rsidDel="00000000" w:rsidR="00000000" w:rsidRPr="00000000">
        <w:rPr>
          <w:rtl w:val="0"/>
        </w:rPr>
        <w:t xml:space="preserve">.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  <w:tab w:val="left" w:leader="none" w:pos="9508"/>
        </w:tabs>
        <w:spacing w:after="0" w:before="45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AIBE-XVII Cleared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  <w:tab w:val="left" w:leader="none" w:pos="9508"/>
        </w:tabs>
        <w:spacing w:after="0" w:before="45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Enrolled aa an advocate under West Bengal State Bar Council of India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</wp:posOffset>
                </wp:positionH>
                <wp:positionV relativeFrom="paragraph">
                  <wp:posOffset>73423</wp:posOffset>
                </wp:positionV>
                <wp:extent cx="6629400" cy="127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Graphic 5"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</wp:posOffset>
                </wp:positionH>
                <wp:positionV relativeFrom="paragraph">
                  <wp:posOffset>73423</wp:posOffset>
                </wp:positionV>
                <wp:extent cx="6629400" cy="127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pStyle w:val="Heading1"/>
        <w:spacing w:before="76" w:lineRule="auto"/>
        <w:ind w:firstLine="12"/>
        <w:rPr/>
      </w:pPr>
      <w:r w:rsidDel="00000000" w:rsidR="00000000" w:rsidRPr="00000000">
        <w:rPr>
          <w:rtl w:val="0"/>
        </w:rPr>
        <w:t xml:space="preserve">ACHIEVEMENTS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8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Secured quarter-finalist position at Inter Moot Court Competition in Adamas School of Law and Justice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39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Enrolled as an Advocate in West Bengal Bar Council and cleared All India Bar Council Exam (AIBE - XVII)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35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as qualified Trademark Attorney and thereby obtained Trademark Attorney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35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</wp:posOffset>
                </wp:positionH>
                <wp:positionV relativeFrom="paragraph">
                  <wp:posOffset>72586</wp:posOffset>
                </wp:positionV>
                <wp:extent cx="6629400" cy="127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6" name="Graphic 6"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</wp:posOffset>
                </wp:positionH>
                <wp:positionV relativeFrom="paragraph">
                  <wp:posOffset>72586</wp:posOffset>
                </wp:positionV>
                <wp:extent cx="6629400" cy="127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Style w:val="Heading1"/>
        <w:spacing w:before="79" w:lineRule="auto"/>
        <w:ind w:firstLine="12"/>
        <w:rPr/>
      </w:pPr>
      <w:r w:rsidDel="00000000" w:rsidR="00000000" w:rsidRPr="00000000">
        <w:rPr>
          <w:rtl w:val="0"/>
        </w:rPr>
        <w:t xml:space="preserve">EXTRA-CURRICULAR ACTIVITIES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7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Webinar on ADR Challenges, Issues, and Solutions and RTI Law- Pillar of Democracy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37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Three days webinar on IPR and its Present Evolutionary Trends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40" w:lineRule="auto"/>
        <w:ind w:left="516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Webinar on The Role of Judges, Academician and Lawyer in Institutionalizing Constitutional Values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40" w:line="273" w:lineRule="auto"/>
        <w:ind w:left="516" w:right="12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Webinar on Role of Legal Services in Pandemic Corona, Importance of Law and Share Market and professional Web Lecture Series</w:t>
      </w:r>
    </w:p>
    <w:sectPr>
      <w:type w:val="continuous"/>
      <w:pgSz w:h="16840" w:w="11910" w:orient="portrait"/>
      <w:pgMar w:bottom="280" w:top="900" w:left="708" w:right="708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●"/>
      <w:lvlJc w:val="left"/>
      <w:pPr>
        <w:ind w:left="372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●"/>
      <w:lvlJc w:val="left"/>
      <w:pPr>
        <w:ind w:left="516" w:hanging="361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726" w:hanging="361.00000000000006"/>
      </w:pPr>
      <w:rPr/>
    </w:lvl>
    <w:lvl w:ilvl="3">
      <w:start w:val="0"/>
      <w:numFmt w:val="bullet"/>
      <w:lvlText w:val="•"/>
      <w:lvlJc w:val="left"/>
      <w:pPr>
        <w:ind w:left="933" w:hanging="361"/>
      </w:pPr>
      <w:rPr/>
    </w:lvl>
    <w:lvl w:ilvl="4">
      <w:start w:val="0"/>
      <w:numFmt w:val="bullet"/>
      <w:lvlText w:val="•"/>
      <w:lvlJc w:val="left"/>
      <w:pPr>
        <w:ind w:left="1140" w:hanging="361"/>
      </w:pPr>
      <w:rPr/>
    </w:lvl>
    <w:lvl w:ilvl="5">
      <w:start w:val="0"/>
      <w:numFmt w:val="bullet"/>
      <w:lvlText w:val="•"/>
      <w:lvlJc w:val="left"/>
      <w:pPr>
        <w:ind w:left="1347" w:hanging="361"/>
      </w:pPr>
      <w:rPr/>
    </w:lvl>
    <w:lvl w:ilvl="6">
      <w:start w:val="0"/>
      <w:numFmt w:val="bullet"/>
      <w:lvlText w:val="•"/>
      <w:lvlJc w:val="left"/>
      <w:pPr>
        <w:ind w:left="1553" w:hanging="360.9999999999998"/>
      </w:pPr>
      <w:rPr/>
    </w:lvl>
    <w:lvl w:ilvl="7">
      <w:start w:val="0"/>
      <w:numFmt w:val="bullet"/>
      <w:lvlText w:val="•"/>
      <w:lvlJc w:val="left"/>
      <w:pPr>
        <w:ind w:left="1760" w:hanging="361"/>
      </w:pPr>
      <w:rPr/>
    </w:lvl>
    <w:lvl w:ilvl="8">
      <w:start w:val="0"/>
      <w:numFmt w:val="bullet"/>
      <w:lvlText w:val="•"/>
      <w:lvlJc w:val="left"/>
      <w:pPr>
        <w:ind w:left="1967" w:hanging="361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516" w:hanging="361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517" w:hanging="361"/>
      </w:pPr>
      <w:rPr/>
    </w:lvl>
    <w:lvl w:ilvl="2">
      <w:start w:val="0"/>
      <w:numFmt w:val="bullet"/>
      <w:lvlText w:val="•"/>
      <w:lvlJc w:val="left"/>
      <w:pPr>
        <w:ind w:left="2514" w:hanging="361"/>
      </w:pPr>
      <w:rPr/>
    </w:lvl>
    <w:lvl w:ilvl="3">
      <w:start w:val="0"/>
      <w:numFmt w:val="bullet"/>
      <w:lvlText w:val="•"/>
      <w:lvlJc w:val="left"/>
      <w:pPr>
        <w:ind w:left="3511" w:hanging="361"/>
      </w:pPr>
      <w:rPr/>
    </w:lvl>
    <w:lvl w:ilvl="4">
      <w:start w:val="0"/>
      <w:numFmt w:val="bullet"/>
      <w:lvlText w:val="•"/>
      <w:lvlJc w:val="left"/>
      <w:pPr>
        <w:ind w:left="4508" w:hanging="361"/>
      </w:pPr>
      <w:rPr/>
    </w:lvl>
    <w:lvl w:ilvl="5">
      <w:start w:val="0"/>
      <w:numFmt w:val="bullet"/>
      <w:lvlText w:val="•"/>
      <w:lvlJc w:val="left"/>
      <w:pPr>
        <w:ind w:left="5505" w:hanging="361"/>
      </w:pPr>
      <w:rPr/>
    </w:lvl>
    <w:lvl w:ilvl="6">
      <w:start w:val="0"/>
      <w:numFmt w:val="bullet"/>
      <w:lvlText w:val="•"/>
      <w:lvlJc w:val="left"/>
      <w:pPr>
        <w:ind w:left="6502" w:hanging="361"/>
      </w:pPr>
      <w:rPr/>
    </w:lvl>
    <w:lvl w:ilvl="7">
      <w:start w:val="0"/>
      <w:numFmt w:val="bullet"/>
      <w:lvlText w:val="•"/>
      <w:lvlJc w:val="left"/>
      <w:pPr>
        <w:ind w:left="7499" w:hanging="361"/>
      </w:pPr>
      <w:rPr/>
    </w:lvl>
    <w:lvl w:ilvl="8">
      <w:start w:val="0"/>
      <w:numFmt w:val="bullet"/>
      <w:lvlText w:val="•"/>
      <w:lvlJc w:val="left"/>
      <w:pPr>
        <w:ind w:left="8496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"/>
    </w:pPr>
    <w:rPr>
      <w:rFonts w:ascii="Cambria" w:cs="Cambria" w:eastAsia="Cambria" w:hAnsi="Cambria"/>
      <w:b w:val="1"/>
      <w:sz w:val="26"/>
      <w:szCs w:val="26"/>
    </w:rPr>
  </w:style>
  <w:style w:type="paragraph" w:styleId="Heading2">
    <w:name w:val="heading 2"/>
    <w:basedOn w:val="Normal"/>
    <w:next w:val="Normal"/>
    <w:pPr>
      <w:spacing w:before="48" w:lineRule="auto"/>
      <w:ind w:left="12"/>
    </w:pPr>
    <w:rPr>
      <w:rFonts w:ascii="Cambria" w:cs="Cambria" w:eastAsia="Cambria" w:hAnsi="Cambri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1" w:lineRule="auto"/>
      <w:ind w:left="2" w:right="2"/>
      <w:jc w:val="center"/>
    </w:pPr>
    <w:rPr>
      <w:rFonts w:ascii="Cambria" w:cs="Cambria" w:eastAsia="Cambria" w:hAnsi="Cambria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tiyasraha007@gmail.com" TargetMode="External"/><Relationship Id="rId7" Type="http://schemas.openxmlformats.org/officeDocument/2006/relationships/hyperlink" Target="https://www.linkedin.com/in/tiy%20as-raha-a62554186" TargetMode="External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