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ind w:firstLine="0"/>
        <w:rPr/>
      </w:pPr>
      <w:r w:rsidDel="00000000" w:rsidR="00000000" w:rsidRPr="00000000">
        <w:rPr/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page">
                  <wp:posOffset>0</wp:posOffset>
                </wp:positionH>
                <wp:positionV relativeFrom="page">
                  <wp:posOffset>1076451</wp:posOffset>
                </wp:positionV>
                <wp:extent cx="7560945" cy="21590"/>
                <wp:effectExtent b="0" l="0" r="0" t="0"/>
                <wp:wrapNone/>
                <wp:docPr id="1" name=""/>
                <a:graphic>
                  <a:graphicData uri="http://schemas.microsoft.com/office/word/2010/wordprocessingGroup">
                    <wpg:wgp>
                      <wpg:cNvGrpSpPr/>
                      <wpg:cNvPr id="1" name="Group 1"/>
                      <wpg:grpSpPr>
                        <a:xfrm>
                          <a:off x="0" y="0"/>
                          <a:ext cx="7560945" cy="21590"/>
                          <a:chExt cx="7560945" cy="21590"/>
                        </a:xfrm>
                      </wpg:grpSpPr>
                      <wps:wsp>
                        <wps:cNvSpPr/>
                        <wps:cNvPr id="2" name="Graphic 2"/>
                        <wps:spPr>
                          <a:xfrm>
                            <a:off x="0" y="6350"/>
                            <a:ext cx="7560945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b="b" l="l" r="r" t="t"/>
                            <a:pathLst>
                              <a:path h="8890" w="7560945">
                                <a:moveTo>
                                  <a:pt x="0" y="0"/>
                                </a:moveTo>
                                <a:lnTo>
                                  <a:pt x="0" y="8890"/>
                                </a:lnTo>
                                <a:lnTo>
                                  <a:pt x="7560564" y="8890"/>
                                </a:lnTo>
                                <a:lnTo>
                                  <a:pt x="75605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FC0"/>
                          </a:solidFill>
                        </wps:spPr>
                        <wps:bodyPr bIns="0" rtlCol="0" lIns="0" rIns="0" wrap="square" tIns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SpPr/>
                        <wps:cNvPr id="3" name="Graphic 3"/>
                        <wps:spPr>
                          <a:xfrm>
                            <a:off x="0" y="0"/>
                            <a:ext cx="7560945" cy="21590"/>
                          </a:xfrm>
                          <a:custGeom>
                            <a:avLst/>
                            <a:gdLst/>
                            <a:ahLst/>
                            <a:cxnLst/>
                            <a:rect b="b" l="l" r="r" t="t"/>
                            <a:pathLst>
                              <a:path h="21590" w="7560945">
                                <a:moveTo>
                                  <a:pt x="75605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890"/>
                                </a:lnTo>
                                <a:lnTo>
                                  <a:pt x="0" y="12700"/>
                                </a:lnTo>
                                <a:lnTo>
                                  <a:pt x="0" y="21590"/>
                                </a:lnTo>
                                <a:lnTo>
                                  <a:pt x="7560564" y="21590"/>
                                </a:lnTo>
                                <a:lnTo>
                                  <a:pt x="7560564" y="12700"/>
                                </a:lnTo>
                                <a:lnTo>
                                  <a:pt x="7560564" y="8890"/>
                                </a:lnTo>
                                <a:lnTo>
                                  <a:pt x="75605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bIns="0" rtlCol="0" lIns="0" rIns="0" wrap="square" tIns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page">
                  <wp:posOffset>0</wp:posOffset>
                </wp:positionH>
                <wp:positionV relativeFrom="page">
                  <wp:posOffset>1076451</wp:posOffset>
                </wp:positionV>
                <wp:extent cx="7560945" cy="2159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60945" cy="2159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  <w:t xml:space="preserve">Tiyas Raha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9" w:line="240" w:lineRule="auto"/>
        <w:ind w:left="70" w:right="21" w:firstLine="0"/>
        <w:jc w:val="center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hyperlink r:id="rId7">
        <w:r w:rsidDel="00000000" w:rsidR="00000000" w:rsidRPr="00000000">
          <w:rPr>
            <w:rFonts w:ascii="Cambria" w:cs="Cambria" w:eastAsia="Cambria" w:hAnsi="Cambria"/>
            <w:b w:val="0"/>
            <w:i w:val="0"/>
            <w:smallCaps w:val="0"/>
            <w:strike w:val="0"/>
            <w:color w:val="2a7a87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mailto:tiyasraha007@gmail.com</w:t>
        </w:r>
      </w:hyperlink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2a7a87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| +91 8240603614 | </w:t>
      </w:r>
      <w:hyperlink r:id="rId8">
        <w:r w:rsidDel="00000000" w:rsidR="00000000" w:rsidRPr="00000000">
          <w:rPr>
            <w:rFonts w:ascii="Cambria" w:cs="Cambria" w:eastAsia="Cambria" w:hAnsi="Cambria"/>
            <w:b w:val="0"/>
            <w:i w:val="0"/>
            <w:smallCaps w:val="0"/>
            <w:strike w:val="0"/>
            <w:color w:val="2a7a87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https://www.linkedin.com/in/tiy as-raha-a62554186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1"/>
        <w:spacing w:before="1" w:lineRule="auto"/>
        <w:ind w:firstLine="12"/>
        <w:rPr/>
      </w:pPr>
      <w:r w:rsidDel="00000000" w:rsidR="00000000" w:rsidRPr="00000000">
        <w:rPr>
          <w:rtl w:val="0"/>
        </w:rPr>
        <w:t xml:space="preserve">EDUCATION</w:t>
      </w:r>
    </w:p>
    <w:p w:rsidR="00000000" w:rsidDel="00000000" w:rsidP="00000000" w:rsidRDefault="00000000" w:rsidRPr="00000000" w14:paraId="00000005">
      <w:pPr>
        <w:pStyle w:val="Heading2"/>
        <w:tabs>
          <w:tab w:val="left" w:leader="none" w:pos="7782"/>
        </w:tabs>
        <w:spacing w:before="47" w:lineRule="auto"/>
        <w:ind w:left="0" w:right="21" w:firstLine="0"/>
        <w:jc w:val="center"/>
        <w:rPr/>
      </w:pPr>
      <w:r w:rsidDel="00000000" w:rsidR="00000000" w:rsidRPr="00000000">
        <w:rPr>
          <w:rtl w:val="0"/>
        </w:rPr>
        <w:t xml:space="preserve">Adamas University, Kolkata</w:t>
        <w:tab/>
      </w:r>
      <w:r w:rsidDel="00000000" w:rsidR="00000000" w:rsidRPr="00000000">
        <w:rPr>
          <w:color w:val="ff0000"/>
          <w:rtl w:val="0"/>
        </w:rPr>
        <w:t xml:space="preserve">Month 2017 – Month 2022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" w:line="240" w:lineRule="auto"/>
        <w:ind w:left="12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BBA.LLB. (H),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GPA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2"/>
        <w:tabs>
          <w:tab w:val="left" w:leader="none" w:pos="7794"/>
        </w:tabs>
        <w:ind w:firstLine="12"/>
        <w:rPr/>
      </w:pPr>
      <w:r w:rsidDel="00000000" w:rsidR="00000000" w:rsidRPr="00000000">
        <w:rPr>
          <w:color w:val="ff0000"/>
          <w:rtl w:val="0"/>
        </w:rPr>
        <w:t xml:space="preserve">School Name</w:t>
        <w:tab/>
        <w:t xml:space="preserve">Month 2015 – Month 2016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" w:line="240" w:lineRule="auto"/>
        <w:ind w:left="12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12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3.333333333333336"/>
          <w:szCs w:val="23.333333333333336"/>
          <w:u w:val="non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Percentage</w:t>
      </w:r>
    </w:p>
    <w:p w:rsidR="00000000" w:rsidDel="00000000" w:rsidP="00000000" w:rsidRDefault="00000000" w:rsidRPr="00000000" w14:paraId="00000009">
      <w:pPr>
        <w:pStyle w:val="Heading2"/>
        <w:tabs>
          <w:tab w:val="left" w:leader="none" w:pos="7794"/>
        </w:tabs>
        <w:spacing w:before="37" w:lineRule="auto"/>
        <w:ind w:firstLine="12"/>
        <w:rPr/>
      </w:pPr>
      <w:r w:rsidDel="00000000" w:rsidR="00000000" w:rsidRPr="00000000">
        <w:rPr>
          <w:color w:val="ff0000"/>
          <w:rtl w:val="0"/>
        </w:rPr>
        <w:t xml:space="preserve">School Name</w:t>
        <w:tab/>
        <w:t xml:space="preserve">Month 2013 – Month 2014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" w:line="240" w:lineRule="auto"/>
        <w:ind w:left="12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10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3.333333333333336"/>
          <w:szCs w:val="23.333333333333336"/>
          <w:u w:val="non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Percentage</w:t>
      </w:r>
    </w:p>
    <w:p w:rsidR="00000000" w:rsidDel="00000000" w:rsidP="00000000" w:rsidRDefault="00000000" w:rsidRPr="00000000" w14:paraId="0000000B">
      <w:pPr>
        <w:pStyle w:val="Heading1"/>
        <w:ind w:firstLine="12"/>
        <w:rPr/>
      </w:pPr>
      <w:r w:rsidDel="00000000" w:rsidR="00000000" w:rsidRPr="00000000">
        <w:rPr>
          <w:rtl w:val="0"/>
        </w:rPr>
        <w:t xml:space="preserve">EXPERIENCE</w:t>
      </w:r>
    </w:p>
    <w:p w:rsidR="00000000" w:rsidDel="00000000" w:rsidP="00000000" w:rsidRDefault="00000000" w:rsidRPr="00000000" w14:paraId="0000000C">
      <w:pPr>
        <w:pStyle w:val="Heading2"/>
        <w:tabs>
          <w:tab w:val="left" w:leader="none" w:pos="7899"/>
        </w:tabs>
        <w:spacing w:before="48" w:lineRule="auto"/>
        <w:ind w:firstLine="12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Style w:val="Heading2"/>
        <w:tabs>
          <w:tab w:val="left" w:leader="none" w:pos="8406"/>
        </w:tabs>
        <w:spacing w:before="41" w:lineRule="auto"/>
        <w:ind w:firstLine="12"/>
        <w:rPr/>
      </w:pPr>
      <w:r w:rsidDel="00000000" w:rsidR="00000000" w:rsidRPr="00000000">
        <w:rPr>
          <w:rtl w:val="0"/>
        </w:rPr>
        <w:t xml:space="preserve">Junior Advocate: Advocate Chenoy Seil</w:t>
        <w:tab/>
        <w:t xml:space="preserve">Jan 2023 – Dec 2023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" w:line="240" w:lineRule="auto"/>
        <w:ind w:left="12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Style w:val="Heading2"/>
        <w:ind w:firstLine="12"/>
        <w:rPr/>
      </w:pPr>
      <w:r w:rsidDel="00000000" w:rsidR="00000000" w:rsidRPr="00000000">
        <w:rPr>
          <w:rtl w:val="0"/>
        </w:rPr>
        <w:t xml:space="preserve">Junior Advocate: Adv. Aniruddha Roychowdhury &amp; Advocate Somnath Chowdhury Sep 2022 – Jan 2023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" w:line="240" w:lineRule="auto"/>
        <w:ind w:left="12" w:right="0" w:firstLine="0"/>
        <w:jc w:val="left"/>
        <w:rPr>
          <w:color w:val="ff0000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INTERNSHIP</w:t>
      </w:r>
      <w:r w:rsidDel="00000000" w:rsidR="00000000" w:rsidRPr="00000000">
        <w:rPr>
          <w:color w:val="ff0000"/>
          <w:rtl w:val="0"/>
        </w:rPr>
        <w:t xml:space="preserve">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" w:line="240" w:lineRule="auto"/>
        <w:ind w:left="12" w:right="0" w:firstLine="0"/>
        <w:jc w:val="left"/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Style w:val="Heading2"/>
        <w:tabs>
          <w:tab w:val="left" w:leader="none" w:pos="8349"/>
        </w:tabs>
        <w:ind w:firstLine="12"/>
        <w:rPr/>
      </w:pPr>
      <w:r w:rsidDel="00000000" w:rsidR="00000000" w:rsidRPr="00000000">
        <w:rPr>
          <w:rtl w:val="0"/>
        </w:rPr>
        <w:t xml:space="preserve">Intern</w:t>
      </w:r>
      <w:r w:rsidDel="00000000" w:rsidR="00000000" w:rsidRPr="00000000">
        <w:rPr>
          <w:rtl w:val="0"/>
        </w:rPr>
        <w:t xml:space="preserve">: Adv. Debajytoi Ghosh and Associates Aug 2021 – Feb 2022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63"/>
        </w:tabs>
        <w:spacing w:after="0" w:before="37" w:line="276" w:lineRule="auto"/>
        <w:ind w:left="463" w:right="7" w:hanging="360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Represented clients in civil cases, attending court proceedings, and presenting legal arguments under the guidance of senior advocates.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63"/>
        </w:tabs>
        <w:spacing w:after="0" w:before="2" w:line="273" w:lineRule="auto"/>
        <w:ind w:left="463" w:right="10" w:hanging="360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Managed and maintained case records, ensuring accuracy and completeness, resulting in a 95% compliance rate.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62"/>
        </w:tabs>
        <w:spacing w:after="0" w:before="5" w:line="240" w:lineRule="auto"/>
        <w:ind w:left="462" w:right="0" w:hanging="359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Appeared in courts regularly, gaining valuable courtroom experience and handling up to 10 cases per week.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63"/>
        </w:tabs>
        <w:spacing w:after="0" w:before="37" w:line="276" w:lineRule="auto"/>
        <w:ind w:left="463" w:right="13" w:hanging="360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Provided assistance to the legal team and senior advocates, conducting legal research and drafting legal documents, contributing to a 20% increase in case preparation efficiency.</w:t>
      </w:r>
    </w:p>
    <w:p w:rsidR="00000000" w:rsidDel="00000000" w:rsidP="00000000" w:rsidRDefault="00000000" w:rsidRPr="00000000" w14:paraId="00000018">
      <w:pPr>
        <w:pStyle w:val="Heading2"/>
        <w:tabs>
          <w:tab w:val="left" w:leader="none" w:pos="8445"/>
        </w:tabs>
        <w:spacing w:before="2" w:lineRule="auto"/>
        <w:ind w:firstLine="12"/>
        <w:rPr/>
      </w:pPr>
      <w:r w:rsidDel="00000000" w:rsidR="00000000" w:rsidRPr="00000000">
        <w:rPr>
          <w:rtl w:val="0"/>
        </w:rPr>
        <w:t xml:space="preserve">Intern: Adv. Wajahat Ansari, Supreme Court Jul 2021 – Aug 2021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63"/>
        </w:tabs>
        <w:spacing w:after="0" w:before="37" w:line="276" w:lineRule="auto"/>
        <w:ind w:left="463" w:right="13" w:hanging="360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Demonstrated proficiency in legal procedures and documentation, facilitating smooth case proceedings and timely submissions.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62"/>
        </w:tabs>
        <w:spacing w:after="0" w:before="0" w:line="290" w:lineRule="auto"/>
        <w:ind w:left="462" w:right="0" w:hanging="359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d0d0d"/>
          <w:sz w:val="22"/>
          <w:szCs w:val="22"/>
          <w:u w:val="none"/>
          <w:shd w:fill="auto" w:val="clear"/>
          <w:vertAlign w:val="baseline"/>
          <w:rtl w:val="0"/>
        </w:rPr>
        <w:t xml:space="preserve">Collaborated on case law analysis, improving legal strategies and enhancing case presentations</w:t>
      </w:r>
      <w:r w:rsidDel="00000000" w:rsidR="00000000" w:rsidRPr="00000000"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d0d0d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63"/>
        </w:tabs>
        <w:spacing w:after="0" w:before="48" w:line="273" w:lineRule="auto"/>
        <w:ind w:left="463" w:right="12" w:hanging="360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Developed strong communication and negotiation skills, resulting in successful settlements and resolutions in 15% of cases handled.</w:t>
      </w:r>
    </w:p>
    <w:p w:rsidR="00000000" w:rsidDel="00000000" w:rsidP="00000000" w:rsidRDefault="00000000" w:rsidRPr="00000000" w14:paraId="0000001C">
      <w:pPr>
        <w:pStyle w:val="Heading2"/>
        <w:tabs>
          <w:tab w:val="left" w:leader="none" w:pos="8363"/>
        </w:tabs>
        <w:spacing w:before="5" w:lineRule="auto"/>
        <w:ind w:firstLine="12"/>
        <w:rPr/>
      </w:pPr>
      <w:r w:rsidDel="00000000" w:rsidR="00000000" w:rsidRPr="00000000">
        <w:rPr>
          <w:rtl w:val="0"/>
        </w:rPr>
        <w:t xml:space="preserve">Intern: Adv. Subhasis Pachhal, High Court,  Kolkata Dec 2020 – Feb 2021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62"/>
        </w:tabs>
        <w:spacing w:after="0" w:before="37" w:line="240" w:lineRule="auto"/>
        <w:ind w:left="462" w:right="0" w:hanging="359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Drafted legal documents, maintaining a 98% accuracy rate in document preparation and submission.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62"/>
        </w:tabs>
        <w:spacing w:after="0" w:before="40" w:line="240" w:lineRule="auto"/>
        <w:ind w:left="462" w:right="0" w:hanging="359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Facilitated client communication and satisfaction, contributing to a 15% increase in client retention.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63"/>
        </w:tabs>
        <w:spacing w:after="0" w:before="37" w:line="276" w:lineRule="auto"/>
        <w:ind w:left="463" w:right="11" w:hanging="360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Collaborated with cross-functional teams, fostering a 30% improvement in teamwork and collaboration within the legal department.</w:t>
      </w:r>
    </w:p>
    <w:p w:rsidR="00000000" w:rsidDel="00000000" w:rsidP="00000000" w:rsidRDefault="00000000" w:rsidRPr="00000000" w14:paraId="00000020">
      <w:pPr>
        <w:pStyle w:val="Heading1"/>
        <w:spacing w:before="120" w:lineRule="auto"/>
        <w:ind w:firstLine="12"/>
        <w:rPr/>
      </w:pPr>
      <w:r w:rsidDel="00000000" w:rsidR="00000000" w:rsidRPr="00000000">
        <w:rPr>
          <w:rtl w:val="0"/>
        </w:rPr>
        <w:t xml:space="preserve">POINT OF INTEREST</w:t>
      </w:r>
    </w:p>
    <w:p w:rsidR="00000000" w:rsidDel="00000000" w:rsidP="00000000" w:rsidRDefault="00000000" w:rsidRPr="00000000" w14:paraId="00000021">
      <w:pPr>
        <w:numPr>
          <w:ilvl w:val="1"/>
          <w:numId w:val="1"/>
        </w:numPr>
        <w:ind w:left="463" w:hanging="360"/>
        <w:rPr/>
      </w:pPr>
      <w:r w:rsidDel="00000000" w:rsidR="00000000" w:rsidRPr="00000000">
        <w:rPr>
          <w:rtl w:val="0"/>
        </w:rPr>
        <w:t xml:space="preserve">Intellectual Property Right </w:t>
      </w:r>
    </w:p>
    <w:p w:rsidR="00000000" w:rsidDel="00000000" w:rsidP="00000000" w:rsidRDefault="00000000" w:rsidRPr="00000000" w14:paraId="00000022">
      <w:pPr>
        <w:numPr>
          <w:ilvl w:val="1"/>
          <w:numId w:val="1"/>
        </w:numPr>
        <w:ind w:left="463" w:hanging="360"/>
        <w:rPr>
          <w:u w:val="none"/>
        </w:rPr>
      </w:pPr>
      <w:r w:rsidDel="00000000" w:rsidR="00000000" w:rsidRPr="00000000">
        <w:rPr>
          <w:rtl w:val="0"/>
        </w:rPr>
        <w:t xml:space="preserve">Trademark Law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63"/>
        </w:tabs>
        <w:spacing w:after="0" w:before="48" w:line="240" w:lineRule="auto"/>
        <w:ind w:left="463" w:right="0" w:hanging="360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Criminal Law</w:t>
      </w:r>
    </w:p>
    <w:p w:rsidR="00000000" w:rsidDel="00000000" w:rsidP="00000000" w:rsidRDefault="00000000" w:rsidRPr="00000000" w14:paraId="00000024">
      <w:pPr>
        <w:pStyle w:val="Heading1"/>
        <w:spacing w:before="158" w:lineRule="auto"/>
        <w:ind w:firstLine="12"/>
        <w:rPr/>
      </w:pPr>
      <w:r w:rsidDel="00000000" w:rsidR="00000000" w:rsidRPr="00000000">
        <w:rPr>
          <w:rtl w:val="0"/>
        </w:rPr>
        <w:t xml:space="preserve">CERTIFICATIONS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63"/>
          <w:tab w:val="left" w:leader="none" w:pos="9359"/>
        </w:tabs>
        <w:spacing w:after="0" w:before="47" w:line="240" w:lineRule="auto"/>
        <w:ind w:left="463" w:right="0" w:hanging="360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Indian Institute of Patent and Trademark</w:t>
        <w:tab/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Month Year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Style w:val="Heading1"/>
        <w:ind w:firstLine="12"/>
        <w:rPr/>
      </w:pPr>
      <w:r w:rsidDel="00000000" w:rsidR="00000000" w:rsidRPr="00000000">
        <w:rPr>
          <w:rtl w:val="0"/>
        </w:rPr>
        <w:t xml:space="preserve">ACHIEVEMENTS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63"/>
        </w:tabs>
        <w:spacing w:after="0" w:before="48" w:line="240" w:lineRule="auto"/>
        <w:ind w:left="463" w:right="0" w:hanging="360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Secured quarter-finalist position at Inter Moot Court Competition in Adamas School of Law and Justice</w:t>
      </w:r>
    </w:p>
    <w:p w:rsidR="00000000" w:rsidDel="00000000" w:rsidP="00000000" w:rsidRDefault="00000000" w:rsidRPr="00000000" w14:paraId="00000028">
      <w:pPr>
        <w:pStyle w:val="Heading1"/>
        <w:spacing w:before="157" w:lineRule="auto"/>
        <w:ind w:firstLine="12"/>
        <w:rPr/>
      </w:pPr>
      <w:r w:rsidDel="00000000" w:rsidR="00000000" w:rsidRPr="00000000">
        <w:rPr>
          <w:rtl w:val="0"/>
        </w:rPr>
        <w:t xml:space="preserve">EXTRA-CURRICULAR ACTIVITIES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52"/>
        </w:tabs>
        <w:spacing w:after="0" w:before="48" w:line="240" w:lineRule="auto"/>
        <w:ind w:left="552" w:right="0" w:hanging="360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Secured quarter-finalist position at Inter Moot Court Competition in Adamas School of Law and Justice.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52"/>
        </w:tabs>
        <w:spacing w:after="0" w:before="39" w:line="240" w:lineRule="auto"/>
        <w:ind w:left="552" w:right="0" w:hanging="360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  <w:sectPr>
          <w:pgSz w:h="16840" w:w="11910" w:orient="portrait"/>
          <w:pgMar w:bottom="280" w:top="620" w:left="708" w:right="708" w:header="360" w:footer="360"/>
          <w:pgNumType w:start="1"/>
        </w:sect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Participation in two Inter Moot Court Competition in Adamas School of Law and Justice.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52"/>
        </w:tabs>
        <w:spacing w:after="0" w:before="83" w:line="240" w:lineRule="auto"/>
        <w:ind w:left="552" w:right="0" w:hanging="360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One day seminar on Women and Law in Contemporary India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52"/>
        </w:tabs>
        <w:spacing w:after="0" w:before="40" w:line="273" w:lineRule="auto"/>
        <w:ind w:left="552" w:right="492" w:hanging="361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Relevance of the Criminal Law Amendment from 2013 to 2018 in Eliminating Discrimination Against Women in India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52"/>
        </w:tabs>
        <w:spacing w:after="0" w:before="3" w:line="240" w:lineRule="auto"/>
        <w:ind w:left="552" w:right="0" w:hanging="360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Webinar on ADR Challenges, Issues, and Solutions and RTI Law- PILLAR OF DEMOCRACY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52"/>
        </w:tabs>
        <w:spacing w:after="0" w:before="40" w:line="240" w:lineRule="auto"/>
        <w:ind w:left="552" w:right="0" w:hanging="360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Three days webinar on IPR and its Present Evolutionary Trends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52"/>
        </w:tabs>
        <w:spacing w:after="0" w:before="37" w:line="276" w:lineRule="auto"/>
        <w:ind w:left="552" w:right="513" w:hanging="361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One day Webinar on The Role of Judges, Academician and Lawyer in Institutionalizing Constitutional Values.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52"/>
        </w:tabs>
        <w:spacing w:after="0" w:before="0" w:line="276" w:lineRule="auto"/>
        <w:ind w:left="552" w:right="847" w:hanging="361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Webinar on Role of Legal Services in Pandemic Corona, Importance of Law and Share Market and professional Web Lecture Series.</w:t>
      </w:r>
    </w:p>
    <w:sectPr>
      <w:type w:val="nextPage"/>
      <w:pgSz w:h="16840" w:w="11910" w:orient="portrait"/>
      <w:pgMar w:bottom="280" w:top="620" w:left="708" w:right="708" w:header="360" w:footer="36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Georgia"/>
  <w:font w:name="Quattrocento Sans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463" w:hanging="360"/>
      </w:pPr>
      <w:rPr>
        <w:rFonts w:ascii="Cambria" w:cs="Cambria" w:eastAsia="Cambria" w:hAnsi="Cambria"/>
        <w:b w:val="0"/>
        <w:i w:val="0"/>
        <w:sz w:val="22"/>
        <w:szCs w:val="22"/>
      </w:rPr>
    </w:lvl>
    <w:lvl w:ilvl="1">
      <w:start w:val="0"/>
      <w:numFmt w:val="bullet"/>
      <w:lvlText w:val="●"/>
      <w:lvlJc w:val="left"/>
      <w:pPr>
        <w:ind w:left="463" w:hanging="360"/>
      </w:pPr>
      <w:rPr>
        <w:rFonts w:ascii="Noto Sans Symbols" w:cs="Noto Sans Symbols" w:eastAsia="Noto Sans Symbols" w:hAnsi="Noto Sans Symbols"/>
        <w:b w:val="0"/>
        <w:i w:val="0"/>
        <w:sz w:val="22"/>
        <w:szCs w:val="22"/>
      </w:rPr>
    </w:lvl>
    <w:lvl w:ilvl="2">
      <w:start w:val="0"/>
      <w:numFmt w:val="bullet"/>
      <w:lvlText w:val="●"/>
      <w:lvlJc w:val="left"/>
      <w:pPr>
        <w:ind w:left="552" w:hanging="361"/>
      </w:pPr>
      <w:rPr>
        <w:rFonts w:ascii="Noto Sans Symbols" w:cs="Noto Sans Symbols" w:eastAsia="Noto Sans Symbols" w:hAnsi="Noto Sans Symbols"/>
        <w:b w:val="0"/>
        <w:i w:val="0"/>
        <w:sz w:val="22"/>
        <w:szCs w:val="22"/>
      </w:rPr>
    </w:lvl>
    <w:lvl w:ilvl="3">
      <w:start w:val="0"/>
      <w:numFmt w:val="bullet"/>
      <w:lvlText w:val="•"/>
      <w:lvlJc w:val="left"/>
      <w:pPr>
        <w:ind w:left="2766" w:hanging="360.99999999999955"/>
      </w:pPr>
      <w:rPr/>
    </w:lvl>
    <w:lvl w:ilvl="4">
      <w:start w:val="0"/>
      <w:numFmt w:val="bullet"/>
      <w:lvlText w:val="•"/>
      <w:lvlJc w:val="left"/>
      <w:pPr>
        <w:ind w:left="3870" w:hanging="361"/>
      </w:pPr>
      <w:rPr/>
    </w:lvl>
    <w:lvl w:ilvl="5">
      <w:start w:val="0"/>
      <w:numFmt w:val="bullet"/>
      <w:lvlText w:val="•"/>
      <w:lvlJc w:val="left"/>
      <w:pPr>
        <w:ind w:left="4973" w:hanging="361"/>
      </w:pPr>
      <w:rPr/>
    </w:lvl>
    <w:lvl w:ilvl="6">
      <w:start w:val="0"/>
      <w:numFmt w:val="bullet"/>
      <w:lvlText w:val="•"/>
      <w:lvlJc w:val="left"/>
      <w:pPr>
        <w:ind w:left="6076" w:hanging="361"/>
      </w:pPr>
      <w:rPr/>
    </w:lvl>
    <w:lvl w:ilvl="7">
      <w:start w:val="0"/>
      <w:numFmt w:val="bullet"/>
      <w:lvlText w:val="•"/>
      <w:lvlJc w:val="left"/>
      <w:pPr>
        <w:ind w:left="7180" w:hanging="361"/>
      </w:pPr>
      <w:rPr/>
    </w:lvl>
    <w:lvl w:ilvl="8">
      <w:start w:val="0"/>
      <w:numFmt w:val="bullet"/>
      <w:lvlText w:val="•"/>
      <w:lvlJc w:val="left"/>
      <w:pPr>
        <w:ind w:left="8283" w:hanging="361.0000000000009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463" w:hanging="360"/>
      </w:pPr>
      <w:rPr>
        <w:rFonts w:ascii="Cambria" w:cs="Cambria" w:eastAsia="Cambria" w:hAnsi="Cambria"/>
        <w:b w:val="0"/>
        <w:i w:val="0"/>
        <w:sz w:val="22"/>
        <w:szCs w:val="22"/>
      </w:rPr>
    </w:lvl>
    <w:lvl w:ilvl="1">
      <w:start w:val="0"/>
      <w:numFmt w:val="bullet"/>
      <w:lvlText w:val="•"/>
      <w:lvlJc w:val="left"/>
      <w:pPr>
        <w:ind w:left="1463" w:hanging="360"/>
      </w:pPr>
      <w:rPr/>
    </w:lvl>
    <w:lvl w:ilvl="2">
      <w:start w:val="0"/>
      <w:numFmt w:val="bullet"/>
      <w:lvlText w:val="•"/>
      <w:lvlJc w:val="left"/>
      <w:pPr>
        <w:ind w:left="2466" w:hanging="360"/>
      </w:pPr>
      <w:rPr/>
    </w:lvl>
    <w:lvl w:ilvl="3">
      <w:start w:val="0"/>
      <w:numFmt w:val="bullet"/>
      <w:lvlText w:val="•"/>
      <w:lvlJc w:val="left"/>
      <w:pPr>
        <w:ind w:left="3469" w:hanging="360"/>
      </w:pPr>
      <w:rPr/>
    </w:lvl>
    <w:lvl w:ilvl="4">
      <w:start w:val="0"/>
      <w:numFmt w:val="bullet"/>
      <w:lvlText w:val="•"/>
      <w:lvlJc w:val="left"/>
      <w:pPr>
        <w:ind w:left="4472" w:hanging="360"/>
      </w:pPr>
      <w:rPr/>
    </w:lvl>
    <w:lvl w:ilvl="5">
      <w:start w:val="0"/>
      <w:numFmt w:val="bullet"/>
      <w:lvlText w:val="•"/>
      <w:lvlJc w:val="left"/>
      <w:pPr>
        <w:ind w:left="5475" w:hanging="360"/>
      </w:pPr>
      <w:rPr/>
    </w:lvl>
    <w:lvl w:ilvl="6">
      <w:start w:val="0"/>
      <w:numFmt w:val="bullet"/>
      <w:lvlText w:val="•"/>
      <w:lvlJc w:val="left"/>
      <w:pPr>
        <w:ind w:left="6478" w:hanging="360"/>
      </w:pPr>
      <w:rPr/>
    </w:lvl>
    <w:lvl w:ilvl="7">
      <w:start w:val="0"/>
      <w:numFmt w:val="bullet"/>
      <w:lvlText w:val="•"/>
      <w:lvlJc w:val="left"/>
      <w:pPr>
        <w:ind w:left="7481" w:hanging="360"/>
      </w:pPr>
      <w:rPr/>
    </w:lvl>
    <w:lvl w:ilvl="8">
      <w:start w:val="0"/>
      <w:numFmt w:val="bullet"/>
      <w:lvlText w:val="•"/>
      <w:lvlJc w:val="left"/>
      <w:pPr>
        <w:ind w:left="8484" w:hanging="36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463" w:hanging="360"/>
      </w:pPr>
      <w:rPr>
        <w:rFonts w:ascii="Cambria" w:cs="Cambria" w:eastAsia="Cambria" w:hAnsi="Cambria"/>
        <w:b w:val="0"/>
        <w:i w:val="0"/>
        <w:sz w:val="22"/>
        <w:szCs w:val="22"/>
      </w:rPr>
    </w:lvl>
    <w:lvl w:ilvl="1">
      <w:start w:val="0"/>
      <w:numFmt w:val="bullet"/>
      <w:lvlText w:val="•"/>
      <w:lvlJc w:val="left"/>
      <w:pPr>
        <w:ind w:left="1463" w:hanging="360"/>
      </w:pPr>
      <w:rPr/>
    </w:lvl>
    <w:lvl w:ilvl="2">
      <w:start w:val="0"/>
      <w:numFmt w:val="bullet"/>
      <w:lvlText w:val="•"/>
      <w:lvlJc w:val="left"/>
      <w:pPr>
        <w:ind w:left="2466" w:hanging="360"/>
      </w:pPr>
      <w:rPr/>
    </w:lvl>
    <w:lvl w:ilvl="3">
      <w:start w:val="0"/>
      <w:numFmt w:val="bullet"/>
      <w:lvlText w:val="•"/>
      <w:lvlJc w:val="left"/>
      <w:pPr>
        <w:ind w:left="3469" w:hanging="360"/>
      </w:pPr>
      <w:rPr/>
    </w:lvl>
    <w:lvl w:ilvl="4">
      <w:start w:val="0"/>
      <w:numFmt w:val="bullet"/>
      <w:lvlText w:val="•"/>
      <w:lvlJc w:val="left"/>
      <w:pPr>
        <w:ind w:left="4472" w:hanging="360"/>
      </w:pPr>
      <w:rPr/>
    </w:lvl>
    <w:lvl w:ilvl="5">
      <w:start w:val="0"/>
      <w:numFmt w:val="bullet"/>
      <w:lvlText w:val="•"/>
      <w:lvlJc w:val="left"/>
      <w:pPr>
        <w:ind w:left="5475" w:hanging="360"/>
      </w:pPr>
      <w:rPr/>
    </w:lvl>
    <w:lvl w:ilvl="6">
      <w:start w:val="0"/>
      <w:numFmt w:val="bullet"/>
      <w:lvlText w:val="•"/>
      <w:lvlJc w:val="left"/>
      <w:pPr>
        <w:ind w:left="6478" w:hanging="360"/>
      </w:pPr>
      <w:rPr/>
    </w:lvl>
    <w:lvl w:ilvl="7">
      <w:start w:val="0"/>
      <w:numFmt w:val="bullet"/>
      <w:lvlText w:val="•"/>
      <w:lvlJc w:val="left"/>
      <w:pPr>
        <w:ind w:left="7481" w:hanging="360"/>
      </w:pPr>
      <w:rPr/>
    </w:lvl>
    <w:lvl w:ilvl="8">
      <w:start w:val="0"/>
      <w:numFmt w:val="bullet"/>
      <w:lvlText w:val="•"/>
      <w:lvlJc w:val="left"/>
      <w:pPr>
        <w:ind w:left="8484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mbria" w:cs="Cambria" w:eastAsia="Cambria" w:hAnsi="Cambria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155" w:lineRule="auto"/>
      <w:ind w:left="12"/>
    </w:pPr>
    <w:rPr>
      <w:rFonts w:ascii="Cambria" w:cs="Cambria" w:eastAsia="Cambria" w:hAnsi="Cambria"/>
      <w:b w:val="1"/>
      <w:sz w:val="26"/>
      <w:szCs w:val="26"/>
    </w:rPr>
  </w:style>
  <w:style w:type="paragraph" w:styleId="Heading2">
    <w:name w:val="heading 2"/>
    <w:basedOn w:val="Normal"/>
    <w:next w:val="Normal"/>
    <w:pPr>
      <w:spacing w:before="40" w:lineRule="auto"/>
      <w:ind w:left="12"/>
    </w:pPr>
    <w:rPr>
      <w:rFonts w:ascii="Cambria" w:cs="Cambria" w:eastAsia="Cambria" w:hAnsi="Cambria"/>
      <w:b w:val="1"/>
      <w:sz w:val="22"/>
      <w:szCs w:val="2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81" w:lineRule="auto"/>
      <w:ind w:right="2"/>
      <w:jc w:val="center"/>
    </w:pPr>
    <w:rPr>
      <w:rFonts w:ascii="Cambria" w:cs="Cambria" w:eastAsia="Cambria" w:hAnsi="Cambria"/>
      <w:b w:val="1"/>
      <w:sz w:val="44"/>
      <w:szCs w:val="4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mailto:tiyasraha007@gmail.com" TargetMode="External"/><Relationship Id="rId8" Type="http://schemas.openxmlformats.org/officeDocument/2006/relationships/hyperlink" Target="https://www.linkedin.com/in/tiy%20as-raha-a6255418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